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5E" w:rsidRPr="00241BF2" w:rsidRDefault="00512E5E" w:rsidP="0039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</w:t>
      </w:r>
      <w:r w:rsidRPr="00241BF2">
        <w:rPr>
          <w:rFonts w:ascii="Times New Roman" w:hAnsi="Times New Roman" w:cs="Times New Roman"/>
          <w:sz w:val="24"/>
          <w:szCs w:val="24"/>
        </w:rPr>
        <w:t>»</w:t>
      </w:r>
      <w:r w:rsidR="00C67DE2">
        <w:rPr>
          <w:rFonts w:ascii="Times New Roman" w:hAnsi="Times New Roman" w:cs="Times New Roman"/>
          <w:sz w:val="24"/>
          <w:szCs w:val="24"/>
        </w:rPr>
        <w:t xml:space="preserve"> для детей со сложной структурой дефекта.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512E5E" w:rsidRPr="00241BF2" w:rsidRDefault="00C67DE2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5C1A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01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1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1A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01A93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512E5E" w:rsidRPr="00241BF2" w:rsidRDefault="000F2C2E" w:rsidP="00C67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и систематическое развитие речевого слуха, </w:t>
            </w: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речью, речевым поведением, их более полноценного развития,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5C1A8B" w:rsidRDefault="005C1A8B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>формирование у обучающихся устойчивой условной двигательной реакции на разнообразные звуковые неречевые стимулы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A8B" w:rsidRPr="005C1A8B" w:rsidRDefault="005C1A8B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>развитие восприятия социально значимых неречевых звучаний окружающего мира (городских сигналов и шумов, бытовых шумов, голосов птиц и животных и др.)</w:t>
            </w:r>
            <w:proofErr w:type="gramStart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3B6" w:rsidRDefault="005C1A8B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>развитие познавательных универсальных учебных действий: способности воспринимать и анализировать поступающую информацию,  в том числе, речевую;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контекст;</w:t>
            </w:r>
          </w:p>
          <w:p w:rsidR="005C1A8B" w:rsidRPr="005C1A8B" w:rsidRDefault="008753B6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 воспринимать и анализировать неречевые звучания, использовать развивающиеся возможности слухового восприятия для уточнения представлений об окружающей действительности, расширения познавательных интересов;</w:t>
            </w:r>
          </w:p>
          <w:p w:rsidR="008753B6" w:rsidRDefault="005C1A8B" w:rsidP="00875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универсальных учебных действий: способности </w:t>
            </w:r>
            <w:proofErr w:type="spellStart"/>
            <w:r w:rsidRPr="005C1A8B">
              <w:rPr>
                <w:rFonts w:ascii="Times New Roman" w:hAnsi="Times New Roman"/>
                <w:sz w:val="24"/>
                <w:szCs w:val="24"/>
              </w:rPr>
              <w:t>слухозрительно</w:t>
            </w:r>
            <w:proofErr w:type="spellEnd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воспринимать (с помощью индивидуальных слуховых аппаратов) знакомые речевые высказывания; </w:t>
            </w:r>
          </w:p>
          <w:p w:rsidR="008753B6" w:rsidRDefault="008753B6" w:rsidP="00875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говорить достаточно внятно и естественно, реализуя сформированные произносительные умения; </w:t>
            </w:r>
          </w:p>
          <w:p w:rsidR="00512E5E" w:rsidRPr="00FE1777" w:rsidRDefault="00557430" w:rsidP="00557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C67DE2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>Развитие сл</w:t>
            </w:r>
            <w:r w:rsidR="00C67DE2">
              <w:rPr>
                <w:rFonts w:ascii="Times New Roman" w:hAnsi="Times New Roman"/>
                <w:sz w:val="24"/>
                <w:szCs w:val="24"/>
              </w:rPr>
              <w:t xml:space="preserve">ухового восприятия 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C67DE2">
              <w:rPr>
                <w:rFonts w:ascii="Times New Roman" w:hAnsi="Times New Roman"/>
                <w:sz w:val="24"/>
                <w:szCs w:val="24"/>
              </w:rPr>
              <w:t xml:space="preserve"> с нарушениями слуха</w:t>
            </w:r>
            <w:r w:rsidRPr="00FE17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Т.К. Королевская, А.Н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 М. «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» 2004г.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Фонетическая ритмика.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Т.М.Власова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А.Н.Пфафенродт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М. «Учебная литература», 1997г.</w:t>
            </w:r>
          </w:p>
          <w:p w:rsidR="00FE1777" w:rsidRP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512E5E" w:rsidRPr="00FE1777" w:rsidRDefault="00512E5E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</w:t>
            </w:r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«Произношение.1</w:t>
            </w:r>
            <w:r w:rsidR="003958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класс» </w:t>
            </w:r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- М., Просвещение, 2020.</w:t>
            </w:r>
          </w:p>
          <w:p w:rsidR="00C67DE2" w:rsidRDefault="00FE1777" w:rsidP="00FE177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Компьютерные программы.</w:t>
            </w:r>
          </w:p>
          <w:p w:rsidR="00512E5E" w:rsidRPr="00FE1777" w:rsidRDefault="00C67DE2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 xml:space="preserve"> Дидактические игры на развитие слухового внимания. 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FE1777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77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E5E" w:rsidRDefault="00FE1777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E5E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Восприятие и различение на слух неречевых звучаний;</w:t>
            </w:r>
          </w:p>
          <w:p w:rsidR="003B73D0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и различение музыки;</w:t>
            </w:r>
          </w:p>
          <w:p w:rsidR="003B73D0" w:rsidRPr="00241BF2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8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различение на слух речи.</w:t>
            </w:r>
          </w:p>
          <w:p w:rsidR="00512E5E" w:rsidRPr="00241BF2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2.Техника речи.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урс учебного времени в объеме 33 часов в год из расчета 1 час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/ 33 учебных недели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5B6" w:rsidRPr="00512E5E" w:rsidRDefault="002F75B6">
      <w:pPr>
        <w:rPr>
          <w:rFonts w:ascii="Times New Roman" w:hAnsi="Times New Roman" w:cs="Times New Roman"/>
          <w:sz w:val="24"/>
          <w:szCs w:val="24"/>
        </w:rPr>
      </w:pPr>
    </w:p>
    <w:sectPr w:rsidR="002F75B6" w:rsidRPr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EB3"/>
    <w:multiLevelType w:val="hybridMultilevel"/>
    <w:tmpl w:val="3F6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6C3"/>
    <w:multiLevelType w:val="hybridMultilevel"/>
    <w:tmpl w:val="0A2A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E"/>
    <w:rsid w:val="000F2C2E"/>
    <w:rsid w:val="002F75B6"/>
    <w:rsid w:val="003958B9"/>
    <w:rsid w:val="003B73D0"/>
    <w:rsid w:val="004265BC"/>
    <w:rsid w:val="00512E5E"/>
    <w:rsid w:val="00552A8A"/>
    <w:rsid w:val="00557430"/>
    <w:rsid w:val="005C1A8B"/>
    <w:rsid w:val="008753B6"/>
    <w:rsid w:val="00C67DE2"/>
    <w:rsid w:val="00E01A93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Markaryan</cp:lastModifiedBy>
  <cp:revision>8</cp:revision>
  <dcterms:created xsi:type="dcterms:W3CDTF">2021-10-27T23:05:00Z</dcterms:created>
  <dcterms:modified xsi:type="dcterms:W3CDTF">2022-10-14T09:59:00Z</dcterms:modified>
</cp:coreProperties>
</file>